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B5967" w14:textId="3AE2C672" w:rsidR="00346020" w:rsidRPr="00346020" w:rsidRDefault="00346020" w:rsidP="00346020">
      <w:pPr>
        <w:pStyle w:val="NormalWeb"/>
        <w:shd w:val="clear" w:color="auto" w:fill="FFFFFF"/>
        <w:jc w:val="both"/>
        <w:rPr>
          <w:rFonts w:ascii="OktaNeue-Regular" w:hAnsi="OktaNeue-Regular"/>
          <w:b/>
          <w:bCs/>
          <w:sz w:val="22"/>
          <w:szCs w:val="22"/>
          <w:u w:val="single"/>
        </w:rPr>
      </w:pPr>
      <w:r w:rsidRPr="00346020">
        <w:rPr>
          <w:rFonts w:ascii="OktaNeue-Regular" w:hAnsi="OktaNeue-Regular"/>
          <w:b/>
          <w:bCs/>
          <w:sz w:val="22"/>
          <w:szCs w:val="22"/>
          <w:u w:val="single"/>
        </w:rPr>
        <w:t>ORUM</w:t>
      </w:r>
    </w:p>
    <w:p w14:paraId="3F87F715" w14:textId="65676E70" w:rsidR="00130CFE" w:rsidRPr="006A6E70" w:rsidRDefault="00130CFE" w:rsidP="00346020">
      <w:pPr>
        <w:pStyle w:val="NormalWeb"/>
        <w:shd w:val="clear" w:color="auto" w:fill="FFFFFF"/>
        <w:jc w:val="both"/>
        <w:rPr>
          <w:rFonts w:ascii="OktaNeue-Regular" w:hAnsi="OktaNeue-Regular"/>
          <w:sz w:val="22"/>
          <w:szCs w:val="22"/>
        </w:rPr>
      </w:pPr>
      <w:r w:rsidRPr="00346020">
        <w:rPr>
          <w:rFonts w:ascii="OktaNeue-Regular" w:hAnsi="OktaNeue-Regular"/>
          <w:sz w:val="22"/>
          <w:szCs w:val="22"/>
        </w:rPr>
        <w:t xml:space="preserve">Somos un proveedor inmobiliario que lleva la razón social DESARROLLO INMOBILIARIO FG </w:t>
      </w:r>
      <w:proofErr w:type="spellStart"/>
      <w:proofErr w:type="gramStart"/>
      <w:r w:rsidRPr="00346020">
        <w:rPr>
          <w:rFonts w:ascii="OktaNeue-Regular" w:hAnsi="OktaNeue-Regular"/>
          <w:sz w:val="22"/>
          <w:szCs w:val="22"/>
        </w:rPr>
        <w:t>S.A.C.,con</w:t>
      </w:r>
      <w:proofErr w:type="spellEnd"/>
      <w:proofErr w:type="gramEnd"/>
      <w:r w:rsidRPr="00346020">
        <w:rPr>
          <w:rFonts w:ascii="OktaNeue-Regular" w:hAnsi="OktaNeue-Regular"/>
          <w:sz w:val="22"/>
          <w:szCs w:val="22"/>
        </w:rPr>
        <w:t xml:space="preserve"> nombre comercial ORUM, identificado con el RUC N° 20603735651 y estamos representados por nuestro gerente general </w:t>
      </w:r>
      <w:r w:rsidR="006D0850">
        <w:rPr>
          <w:rFonts w:ascii="OktaNeue-Regular" w:hAnsi="OktaNeue-Regular"/>
          <w:sz w:val="22"/>
          <w:szCs w:val="22"/>
        </w:rPr>
        <w:t>ENRIQUE CASTAÑEDA ROJAS</w:t>
      </w:r>
      <w:r w:rsidRPr="00346020">
        <w:rPr>
          <w:rFonts w:ascii="OktaNeue-Regular" w:hAnsi="OktaNeue-Regular"/>
          <w:sz w:val="22"/>
          <w:szCs w:val="22"/>
        </w:rPr>
        <w:t xml:space="preserve"> cuyo nombramiento consta debidamente inscritos en la </w:t>
      </w:r>
      <w:r w:rsidRPr="006A6E70">
        <w:rPr>
          <w:rFonts w:ascii="OktaNeue-Regular" w:hAnsi="OktaNeue-Regular"/>
          <w:sz w:val="22"/>
          <w:szCs w:val="22"/>
        </w:rPr>
        <w:t xml:space="preserve">Partida Electrónica N° </w:t>
      </w:r>
      <w:r w:rsidR="006A6E70" w:rsidRPr="006A6E70">
        <w:rPr>
          <w:rFonts w:ascii="Tahoma" w:hAnsi="Tahoma" w:cs="Tahoma"/>
          <w:color w:val="000000" w:themeColor="text1"/>
          <w:sz w:val="20"/>
          <w:szCs w:val="20"/>
        </w:rPr>
        <w:t xml:space="preserve">14176922 </w:t>
      </w:r>
      <w:r w:rsidRPr="006A6E70">
        <w:rPr>
          <w:rFonts w:ascii="OktaNeue-Regular" w:hAnsi="OktaNeue-Regular"/>
          <w:sz w:val="22"/>
          <w:szCs w:val="22"/>
        </w:rPr>
        <w:t xml:space="preserve"> del Registro de Personas Jurídicas de Lima.</w:t>
      </w:r>
    </w:p>
    <w:p w14:paraId="1CC4C5FA" w14:textId="08943778" w:rsidR="00130CFE" w:rsidRPr="006A6E70" w:rsidRDefault="00130CFE" w:rsidP="00346020">
      <w:pPr>
        <w:pStyle w:val="NormalWeb"/>
        <w:shd w:val="clear" w:color="auto" w:fill="FFFFFF"/>
        <w:jc w:val="both"/>
        <w:rPr>
          <w:rFonts w:ascii="OktaNeue-Regular" w:hAnsi="OktaNeue-Regular"/>
          <w:sz w:val="22"/>
          <w:szCs w:val="22"/>
          <w:shd w:val="clear" w:color="auto" w:fill="FFFFFF"/>
        </w:rPr>
      </w:pPr>
      <w:r w:rsidRPr="006A6E70">
        <w:rPr>
          <w:rFonts w:ascii="OktaNeue-Regular" w:hAnsi="OktaNeue-Regular"/>
          <w:sz w:val="22"/>
          <w:szCs w:val="22"/>
          <w:shd w:val="clear" w:color="auto" w:fill="FFFFFF"/>
        </w:rPr>
        <w:t xml:space="preserve">Nos encontramos domiciliados en Jirón Francisco Graña N° 155, distrito de La Victoria, provincia y departamento de Lima. Nos puede contactar al teléfono </w:t>
      </w:r>
      <w:r w:rsidR="006A6E70" w:rsidRPr="006A6E70">
        <w:rPr>
          <w:rFonts w:ascii="OktaNeue-Regular" w:hAnsi="OktaNeue-Regular"/>
          <w:sz w:val="22"/>
          <w:szCs w:val="22"/>
          <w:shd w:val="clear" w:color="auto" w:fill="FFFFFF"/>
        </w:rPr>
        <w:t>01 706 4261</w:t>
      </w:r>
      <w:r w:rsidRPr="006A6E70">
        <w:rPr>
          <w:rFonts w:ascii="OktaNeue-Regular" w:hAnsi="OktaNeue-Regular"/>
          <w:sz w:val="22"/>
          <w:szCs w:val="22"/>
          <w:shd w:val="clear" w:color="auto" w:fill="FFFFFF"/>
        </w:rPr>
        <w:t xml:space="preserve"> y al correo </w:t>
      </w:r>
      <w:hyperlink r:id="rId4" w:history="1">
        <w:r w:rsidRPr="006A6E70">
          <w:rPr>
            <w:rStyle w:val="Hipervnculo"/>
            <w:rFonts w:ascii="OktaNeue-Regular" w:hAnsi="OktaNeue-Regular"/>
            <w:color w:val="auto"/>
            <w:sz w:val="22"/>
            <w:szCs w:val="22"/>
            <w:shd w:val="clear" w:color="auto" w:fill="FFFFFF"/>
          </w:rPr>
          <w:t>informesperu@grupolar.com</w:t>
        </w:r>
      </w:hyperlink>
      <w:r w:rsidRPr="006A6E70">
        <w:rPr>
          <w:rFonts w:ascii="OktaNeue-Regular" w:hAnsi="OktaNeue-Regular"/>
          <w:sz w:val="22"/>
          <w:szCs w:val="22"/>
          <w:shd w:val="clear" w:color="auto" w:fill="FFFFFF"/>
        </w:rPr>
        <w:t>.</w:t>
      </w:r>
    </w:p>
    <w:p w14:paraId="5BDBBFA7" w14:textId="3787A960" w:rsidR="00130CFE" w:rsidRPr="006A6E70" w:rsidRDefault="00130CFE" w:rsidP="00346020">
      <w:pPr>
        <w:pStyle w:val="NormalWeb"/>
        <w:shd w:val="clear" w:color="auto" w:fill="FFFFFF"/>
        <w:jc w:val="both"/>
        <w:rPr>
          <w:rFonts w:ascii="OktaNeue-Regular" w:hAnsi="OktaNeue-Regular"/>
          <w:sz w:val="22"/>
          <w:szCs w:val="22"/>
        </w:rPr>
      </w:pPr>
      <w:r w:rsidRPr="006A6E70">
        <w:rPr>
          <w:rFonts w:ascii="OktaNeue-Regular" w:hAnsi="OktaNeue-Regular"/>
          <w:sz w:val="22"/>
          <w:szCs w:val="22"/>
        </w:rPr>
        <w:t xml:space="preserve">Nuestro proyecto inmobiliario se encuentra ubicado en el inmueble </w:t>
      </w:r>
      <w:proofErr w:type="gramStart"/>
      <w:r w:rsidRPr="006A6E70">
        <w:rPr>
          <w:rFonts w:ascii="OktaNeue-Regular" w:hAnsi="OktaNeue-Regular"/>
          <w:sz w:val="22"/>
          <w:szCs w:val="22"/>
        </w:rPr>
        <w:t>matriz :</w:t>
      </w:r>
      <w:proofErr w:type="gramEnd"/>
      <w:r w:rsidRPr="006A6E70">
        <w:rPr>
          <w:rFonts w:ascii="OktaNeue-Regular" w:hAnsi="OktaNeue-Regular"/>
          <w:sz w:val="22"/>
          <w:szCs w:val="22"/>
        </w:rPr>
        <w:t xml:space="preserve"> Lotes 4 y 6, frente a la Calle Fermín Tangüis y frente a la calle Francisco Graña, urbanización Santa Catalina, distrito de La Victoria, provincia y departamento de Lima. El inmueble matriz cuenta con un área total de 8,794.86 m2, inscrito en Partida No 14496621 del Registro de Predios de Lima.</w:t>
      </w:r>
    </w:p>
    <w:p w14:paraId="18544F6C" w14:textId="313066FC" w:rsidR="00130CFE" w:rsidRPr="006A6E70" w:rsidRDefault="00130CFE" w:rsidP="00346020">
      <w:pPr>
        <w:pStyle w:val="NormalWeb"/>
        <w:shd w:val="clear" w:color="auto" w:fill="FFFFFF"/>
        <w:jc w:val="both"/>
        <w:rPr>
          <w:rFonts w:ascii="OktaNeue-Regular" w:hAnsi="OktaNeue-Regular"/>
          <w:sz w:val="22"/>
          <w:szCs w:val="22"/>
        </w:rPr>
      </w:pPr>
      <w:r w:rsidRPr="006A6E70">
        <w:rPr>
          <w:rFonts w:ascii="OktaNeue-Regular" w:hAnsi="OktaNeue-Regular"/>
          <w:sz w:val="22"/>
          <w:szCs w:val="22"/>
        </w:rPr>
        <w:t>El proyecto constará de _</w:t>
      </w:r>
      <w:r w:rsidR="006A6E70" w:rsidRPr="006A6E70">
        <w:rPr>
          <w:rFonts w:ascii="OktaNeue-Regular" w:hAnsi="OktaNeue-Regular"/>
          <w:sz w:val="22"/>
          <w:szCs w:val="22"/>
        </w:rPr>
        <w:t>8</w:t>
      </w:r>
      <w:r w:rsidRPr="006A6E70">
        <w:rPr>
          <w:rFonts w:ascii="OktaNeue-Regular" w:hAnsi="OktaNeue-Regular"/>
          <w:sz w:val="22"/>
          <w:szCs w:val="22"/>
        </w:rPr>
        <w:t xml:space="preserve">__ etapas (correspondiendo una torre por etapa), siendo que los inmuebles formarán parte integrante de la Primera etapa, la cual está compuesta por </w:t>
      </w:r>
      <w:r w:rsidR="006A6E70" w:rsidRPr="006A6E70">
        <w:rPr>
          <w:rFonts w:ascii="OktaNeue-Regular" w:hAnsi="OktaNeue-Regular"/>
          <w:sz w:val="22"/>
          <w:szCs w:val="22"/>
        </w:rPr>
        <w:t>27</w:t>
      </w:r>
      <w:r w:rsidRPr="006A6E70">
        <w:rPr>
          <w:rFonts w:ascii="OktaNeue-Regular" w:hAnsi="OktaNeue-Regular"/>
          <w:sz w:val="22"/>
          <w:szCs w:val="22"/>
        </w:rPr>
        <w:t xml:space="preserve"> pisos, azotea y </w:t>
      </w:r>
      <w:r w:rsidR="006A6E70" w:rsidRPr="006A6E70">
        <w:rPr>
          <w:rFonts w:ascii="OktaNeue-Regular" w:hAnsi="OktaNeue-Regular"/>
          <w:sz w:val="22"/>
          <w:szCs w:val="22"/>
        </w:rPr>
        <w:t>3</w:t>
      </w:r>
      <w:r w:rsidRPr="006A6E70">
        <w:rPr>
          <w:rFonts w:ascii="OktaNeue-Regular" w:hAnsi="OktaNeue-Regular"/>
          <w:sz w:val="22"/>
          <w:szCs w:val="22"/>
        </w:rPr>
        <w:t xml:space="preserve"> sótanos, según la Resolución de Licencia de edificación N° </w:t>
      </w:r>
      <w:r w:rsidR="006A6E70" w:rsidRPr="006A6E70">
        <w:rPr>
          <w:rFonts w:ascii="OktaNeue-Regular" w:hAnsi="OktaNeue-Regular"/>
          <w:sz w:val="22"/>
          <w:szCs w:val="22"/>
        </w:rPr>
        <w:t>260-2020-SGOPCYCU-GDU-MDLV</w:t>
      </w:r>
      <w:r w:rsidRPr="006A6E70">
        <w:rPr>
          <w:rFonts w:ascii="OktaNeue-Regular" w:hAnsi="OktaNeue-Regular"/>
          <w:sz w:val="22"/>
          <w:szCs w:val="22"/>
        </w:rPr>
        <w:t xml:space="preserve"> (Expediente N° _</w:t>
      </w:r>
      <w:r w:rsidR="006A6E70" w:rsidRPr="006A6E70">
        <w:rPr>
          <w:rFonts w:ascii="OktaNeue-Regular" w:hAnsi="OktaNeue-Regular"/>
          <w:sz w:val="22"/>
          <w:szCs w:val="22"/>
        </w:rPr>
        <w:t>016919-2020</w:t>
      </w:r>
      <w:r w:rsidRPr="006A6E70">
        <w:rPr>
          <w:rFonts w:ascii="OktaNeue-Regular" w:hAnsi="OktaNeue-Regular"/>
          <w:sz w:val="22"/>
          <w:szCs w:val="22"/>
        </w:rPr>
        <w:t xml:space="preserve">) de fecha </w:t>
      </w:r>
      <w:r w:rsidR="006A6E70" w:rsidRPr="006A6E70">
        <w:rPr>
          <w:rFonts w:ascii="OktaNeue-Regular" w:hAnsi="OktaNeue-Regular"/>
          <w:sz w:val="22"/>
          <w:szCs w:val="22"/>
        </w:rPr>
        <w:t>16/12/2020</w:t>
      </w:r>
      <w:r w:rsidRPr="006A6E70">
        <w:rPr>
          <w:rFonts w:ascii="OktaNeue-Regular" w:hAnsi="OktaNeue-Regular"/>
          <w:sz w:val="22"/>
          <w:szCs w:val="22"/>
        </w:rPr>
        <w:t xml:space="preserve"> emitida por la Municipalidad Distrital de La Victoria.</w:t>
      </w:r>
    </w:p>
    <w:p w14:paraId="7577AF55" w14:textId="2DA724AC" w:rsidR="00130CFE" w:rsidRPr="00346020" w:rsidRDefault="00130CFE" w:rsidP="00346020">
      <w:pPr>
        <w:pStyle w:val="NormalWeb"/>
        <w:shd w:val="clear" w:color="auto" w:fill="FFFFFF"/>
        <w:jc w:val="both"/>
        <w:rPr>
          <w:rFonts w:ascii="OktaNeue-Regular" w:hAnsi="OktaNeue-Regular"/>
          <w:sz w:val="22"/>
          <w:szCs w:val="22"/>
        </w:rPr>
      </w:pPr>
      <w:r w:rsidRPr="006A6E70">
        <w:rPr>
          <w:rFonts w:ascii="OktaNeue-Regular" w:hAnsi="OktaNeue-Regular"/>
          <w:sz w:val="22"/>
          <w:szCs w:val="22"/>
        </w:rPr>
        <w:t xml:space="preserve">A la fecha se está comercializando la etapa 1 del proyecto, lo cual se encuentra en próximo lanzamiento, contará con </w:t>
      </w:r>
      <w:r w:rsidR="006A6E70" w:rsidRPr="006A6E70">
        <w:rPr>
          <w:rFonts w:ascii="OktaNeue-Regular" w:hAnsi="OktaNeue-Regular"/>
          <w:sz w:val="22"/>
          <w:szCs w:val="22"/>
        </w:rPr>
        <w:t>27</w:t>
      </w:r>
      <w:r w:rsidRPr="006A6E70">
        <w:rPr>
          <w:rFonts w:ascii="OktaNeue-Regular" w:hAnsi="OktaNeue-Regular"/>
          <w:sz w:val="22"/>
          <w:szCs w:val="22"/>
        </w:rPr>
        <w:t xml:space="preserve"> pisos, </w:t>
      </w:r>
      <w:r w:rsidR="006A6E70" w:rsidRPr="006A6E70">
        <w:rPr>
          <w:rFonts w:ascii="OktaNeue-Regular" w:hAnsi="OktaNeue-Regular"/>
          <w:sz w:val="22"/>
          <w:szCs w:val="22"/>
        </w:rPr>
        <w:t>156</w:t>
      </w:r>
      <w:r w:rsidRPr="006A6E70">
        <w:rPr>
          <w:rFonts w:ascii="OktaNeue-Regular" w:hAnsi="OktaNeue-Regular"/>
          <w:sz w:val="22"/>
          <w:szCs w:val="22"/>
        </w:rPr>
        <w:t xml:space="preserve"> departamentos, </w:t>
      </w:r>
      <w:r w:rsidR="006A6E70" w:rsidRPr="006A6E70">
        <w:rPr>
          <w:rFonts w:ascii="OktaNeue-Regular" w:hAnsi="OktaNeue-Regular"/>
          <w:sz w:val="22"/>
          <w:szCs w:val="22"/>
        </w:rPr>
        <w:t>67</w:t>
      </w:r>
      <w:r w:rsidRPr="006A6E70">
        <w:rPr>
          <w:rFonts w:ascii="OktaNeue-Regular" w:hAnsi="OktaNeue-Regular"/>
          <w:sz w:val="22"/>
          <w:szCs w:val="22"/>
        </w:rPr>
        <w:t xml:space="preserve"> estacionamientos y </w:t>
      </w:r>
      <w:r w:rsidR="006A6E70" w:rsidRPr="006A6E70">
        <w:rPr>
          <w:rFonts w:ascii="OktaNeue-Regular" w:hAnsi="OktaNeue-Regular"/>
          <w:sz w:val="22"/>
          <w:szCs w:val="22"/>
        </w:rPr>
        <w:t>21</w:t>
      </w:r>
      <w:r w:rsidR="006D0850">
        <w:rPr>
          <w:rFonts w:ascii="OktaNeue-Regular" w:hAnsi="OktaNeue-Regular"/>
          <w:sz w:val="22"/>
          <w:szCs w:val="22"/>
        </w:rPr>
        <w:t xml:space="preserve"> </w:t>
      </w:r>
      <w:r w:rsidRPr="006A6E70">
        <w:rPr>
          <w:rFonts w:ascii="OktaNeue-Regular" w:hAnsi="OktaNeue-Regular"/>
          <w:sz w:val="22"/>
          <w:szCs w:val="22"/>
        </w:rPr>
        <w:t xml:space="preserve">depósitos. El área techada aproximada es de </w:t>
      </w:r>
      <w:r w:rsidR="006A6E70" w:rsidRPr="006A6E70">
        <w:rPr>
          <w:rFonts w:ascii="OktaNeue-Regular" w:hAnsi="OktaNeue-Regular"/>
          <w:sz w:val="22"/>
          <w:szCs w:val="22"/>
        </w:rPr>
        <w:t>14,950</w:t>
      </w:r>
      <w:r w:rsidRPr="006A6E70">
        <w:rPr>
          <w:rFonts w:ascii="OktaNeue-Regular" w:hAnsi="OktaNeue-Regular"/>
          <w:sz w:val="22"/>
          <w:szCs w:val="22"/>
        </w:rPr>
        <w:t xml:space="preserve"> m2, de los cuales </w:t>
      </w:r>
      <w:r w:rsidR="006A6E70" w:rsidRPr="006A6E70">
        <w:rPr>
          <w:rFonts w:ascii="OktaNeue-Regular" w:hAnsi="OktaNeue-Regular"/>
          <w:sz w:val="22"/>
          <w:szCs w:val="22"/>
        </w:rPr>
        <w:t>9,935</w:t>
      </w:r>
      <w:r w:rsidRPr="006A6E70">
        <w:rPr>
          <w:rFonts w:ascii="OktaNeue-Regular" w:hAnsi="OktaNeue-Regular"/>
          <w:sz w:val="22"/>
          <w:szCs w:val="22"/>
        </w:rPr>
        <w:t xml:space="preserve"> m2 son área exclusiva y </w:t>
      </w:r>
      <w:r w:rsidR="006A6E70" w:rsidRPr="006A6E70">
        <w:rPr>
          <w:rFonts w:ascii="OktaNeue-Regular" w:hAnsi="OktaNeue-Regular"/>
          <w:sz w:val="22"/>
          <w:szCs w:val="22"/>
        </w:rPr>
        <w:t>2,256</w:t>
      </w:r>
      <w:r w:rsidR="006D0850">
        <w:rPr>
          <w:rFonts w:ascii="OktaNeue-Regular" w:hAnsi="OktaNeue-Regular"/>
          <w:sz w:val="22"/>
          <w:szCs w:val="22"/>
        </w:rPr>
        <w:t xml:space="preserve"> </w:t>
      </w:r>
      <w:r w:rsidRPr="006A6E70">
        <w:rPr>
          <w:rFonts w:ascii="OktaNeue-Regular" w:hAnsi="OktaNeue-Regular"/>
          <w:sz w:val="22"/>
          <w:szCs w:val="22"/>
        </w:rPr>
        <w:t>m2 son área común.</w:t>
      </w:r>
    </w:p>
    <w:p w14:paraId="0B8E4C90" w14:textId="77777777" w:rsidR="00130CFE" w:rsidRPr="00346020" w:rsidRDefault="00130CFE" w:rsidP="00346020">
      <w:pPr>
        <w:pStyle w:val="NormalWeb"/>
        <w:shd w:val="clear" w:color="auto" w:fill="FFFFFF"/>
        <w:jc w:val="both"/>
        <w:rPr>
          <w:rFonts w:ascii="OktaNeue-Regular" w:hAnsi="OktaNeue-Regular"/>
          <w:sz w:val="22"/>
          <w:szCs w:val="22"/>
        </w:rPr>
      </w:pPr>
      <w:r w:rsidRPr="00346020">
        <w:rPr>
          <w:rFonts w:ascii="OktaNeue-Regular" w:hAnsi="OktaNeue-Regular"/>
          <w:sz w:val="22"/>
          <w:szCs w:val="22"/>
        </w:rPr>
        <w:t>Todos nuestros proyectos inmobiliarios en fase de diseño, desarrollo y construcción cumplen con las normas técnicas, las condiciones de seguridad y salud y tienen los más altos estándares de la construcción, cumpliendo además con la condición de sismo-resistencia dispuesta por el Reglamento Nacional de Edificaciones.</w:t>
      </w:r>
    </w:p>
    <w:p w14:paraId="6D1BED60" w14:textId="77777777" w:rsidR="00130CFE" w:rsidRPr="00346020" w:rsidRDefault="00130CFE" w:rsidP="00346020">
      <w:pPr>
        <w:pStyle w:val="NormalWeb"/>
        <w:shd w:val="clear" w:color="auto" w:fill="FFFFFF"/>
        <w:jc w:val="both"/>
        <w:rPr>
          <w:rFonts w:ascii="OktaNeue-Regular" w:hAnsi="OktaNeue-Regular"/>
          <w:sz w:val="22"/>
          <w:szCs w:val="22"/>
        </w:rPr>
      </w:pPr>
      <w:r w:rsidRPr="00346020">
        <w:rPr>
          <w:rFonts w:ascii="OktaNeue-Regular" w:hAnsi="OktaNeue-Regular"/>
          <w:sz w:val="22"/>
          <w:szCs w:val="22"/>
        </w:rPr>
        <w:t>Antes de iniciar la construcción, nuestros proyectos pasan por estrictas evaluaciones técnicas de Revisor Urbano o de las Comisiones Revisoras designadas por los colegios profesionales en cada Municipalidad, las cuales nos entregan el anteproyecto, las licencias y resoluciones correspondientes que demuestran su aprobación legal.</w:t>
      </w:r>
    </w:p>
    <w:p w14:paraId="636E7D80" w14:textId="77777777" w:rsidR="00130CFE" w:rsidRPr="00346020" w:rsidRDefault="00130CFE" w:rsidP="00346020">
      <w:pPr>
        <w:pStyle w:val="NormalWeb"/>
        <w:shd w:val="clear" w:color="auto" w:fill="FFFFFF"/>
        <w:jc w:val="both"/>
        <w:rPr>
          <w:rFonts w:ascii="OktaNeue-Regular" w:hAnsi="OktaNeue-Regular"/>
          <w:sz w:val="22"/>
          <w:szCs w:val="22"/>
        </w:rPr>
      </w:pPr>
      <w:r w:rsidRPr="00346020">
        <w:rPr>
          <w:rFonts w:ascii="OktaNeue-Regular" w:hAnsi="OktaNeue-Regular"/>
          <w:sz w:val="22"/>
          <w:szCs w:val="22"/>
        </w:rPr>
        <w:t>Se informa al consumidor que existen, para su información: (a) Central de Información de Promotores Inmobiliarios y/o Empresas Constructoras de Unidades Inmobiliarias (Ley 29203); (b) Registro de Infracciones y Sanciones por el incumplimiento de la Ley 29571; y, (c) Portal Mira a Quién le Compras del INDECOPI (http://servicio.indecopi.gob.pe/appCPCBuscador/). Atención de quejas y reclamos: info@elant.pe</w:t>
      </w:r>
    </w:p>
    <w:p w14:paraId="20D17AA2" w14:textId="43276EE5" w:rsidR="00130CFE" w:rsidRPr="00346020" w:rsidRDefault="00130CFE" w:rsidP="00346020">
      <w:pPr>
        <w:pStyle w:val="NormalWeb"/>
        <w:shd w:val="clear" w:color="auto" w:fill="FFFFFF"/>
        <w:jc w:val="both"/>
        <w:rPr>
          <w:rFonts w:ascii="OktaNeue-Regular" w:hAnsi="OktaNeue-Regular"/>
          <w:sz w:val="22"/>
          <w:szCs w:val="22"/>
        </w:rPr>
      </w:pPr>
      <w:r w:rsidRPr="00346020">
        <w:rPr>
          <w:rFonts w:ascii="OktaNeue-Regular" w:hAnsi="OktaNeue-Regular"/>
          <w:sz w:val="22"/>
          <w:szCs w:val="22"/>
        </w:rPr>
        <w:t xml:space="preserve">A continuación, y en complemento de lo anterior, podrá usted encontrar documentos que contienen información relevante, gratuita, previa, plena y oportuna referida a DESARROLLO </w:t>
      </w:r>
      <w:r w:rsidR="006D0850">
        <w:rPr>
          <w:rFonts w:ascii="OktaNeue-Regular" w:hAnsi="OktaNeue-Regular"/>
          <w:sz w:val="22"/>
          <w:szCs w:val="22"/>
        </w:rPr>
        <w:t>INMOBILIARIO FG</w:t>
      </w:r>
      <w:r w:rsidRPr="00346020">
        <w:rPr>
          <w:rFonts w:ascii="OktaNeue-Regular" w:hAnsi="OktaNeue-Regular"/>
          <w:sz w:val="22"/>
          <w:szCs w:val="22"/>
        </w:rPr>
        <w:t xml:space="preserve"> S.A.C. y a nuestro proyecto inmobiliario ORUM (Fase 1).</w:t>
      </w:r>
    </w:p>
    <w:p w14:paraId="2104BFFC" w14:textId="77777777" w:rsidR="00FF2CC3" w:rsidRPr="00346020" w:rsidRDefault="00FF2CC3" w:rsidP="00346020">
      <w:pPr>
        <w:jc w:val="both"/>
      </w:pPr>
    </w:p>
    <w:sectPr w:rsidR="00FF2CC3" w:rsidRPr="0034602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ktaNeue-Regular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CFE"/>
    <w:rsid w:val="00130CFE"/>
    <w:rsid w:val="00346020"/>
    <w:rsid w:val="006A6E70"/>
    <w:rsid w:val="006D0850"/>
    <w:rsid w:val="00A61FEA"/>
    <w:rsid w:val="00F60A8A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C75DF8F"/>
  <w15:chartTrackingRefBased/>
  <w15:docId w15:val="{854F3716-A197-45CB-BA5B-5D7509C38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0C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styleId="Hipervnculo">
    <w:name w:val="Hyperlink"/>
    <w:basedOn w:val="Fuentedeprrafopredeter"/>
    <w:uiPriority w:val="99"/>
    <w:unhideWhenUsed/>
    <w:rsid w:val="00130CF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30C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86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rmesperu@grupolar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458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Jeniffer lizbeth Sairitupac Paredes</dc:creator>
  <cp:keywords/>
  <dc:description/>
  <cp:lastModifiedBy>MARELY FERNANDA GELDRES NAVARRO</cp:lastModifiedBy>
  <cp:revision>3</cp:revision>
  <dcterms:created xsi:type="dcterms:W3CDTF">2023-02-13T20:54:00Z</dcterms:created>
  <dcterms:modified xsi:type="dcterms:W3CDTF">2023-08-21T16:19:00Z</dcterms:modified>
</cp:coreProperties>
</file>